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B7" w:rsidRPr="00A54294" w:rsidRDefault="00A54294" w:rsidP="00A54294">
      <w:pPr>
        <w:jc w:val="center"/>
        <w:rPr>
          <w:b/>
          <w:sz w:val="28"/>
        </w:rPr>
      </w:pPr>
      <w:r w:rsidRPr="00A54294">
        <w:rPr>
          <w:b/>
          <w:sz w:val="28"/>
        </w:rPr>
        <w:t>SZCZEGÓŁOWE ZASADY ZAMÓWIEŃ KSIĄŻEK Z KSIĘGARNI „TULISZKÓW”:</w:t>
      </w:r>
    </w:p>
    <w:p w:rsidR="00776AB7" w:rsidRDefault="00776AB7" w:rsidP="00447CE6">
      <w:pPr>
        <w:pStyle w:val="Akapitzlist"/>
        <w:numPr>
          <w:ilvl w:val="0"/>
          <w:numId w:val="1"/>
        </w:numPr>
        <w:jc w:val="both"/>
      </w:pPr>
      <w:r>
        <w:t xml:space="preserve">Kod szkoły, który pozwoli na skojarzenie szkoły z zamówieniem: </w:t>
      </w:r>
      <w:r>
        <w:tab/>
      </w:r>
      <w:r w:rsidR="00A54294" w:rsidRPr="00A54294">
        <w:rPr>
          <w:rFonts w:ascii="Calibri" w:hAnsi="Calibri" w:cs="Calibri"/>
          <w:b/>
          <w:bCs/>
          <w:color w:val="FF0000"/>
          <w:sz w:val="28"/>
        </w:rPr>
        <w:t>Z.GRX.BANIE.G</w:t>
      </w:r>
    </w:p>
    <w:p w:rsidR="00776AB7" w:rsidRDefault="00776AB7" w:rsidP="00447CE6">
      <w:pPr>
        <w:pStyle w:val="Akapitzlist"/>
        <w:ind w:left="1068"/>
        <w:jc w:val="both"/>
      </w:pPr>
      <w:r>
        <w:t xml:space="preserve">Kod ten należy wpisać w polu </w:t>
      </w:r>
      <w:r w:rsidR="00A54294">
        <w:t>„Dodatkowe I</w:t>
      </w:r>
      <w:r>
        <w:t>nformacje</w:t>
      </w:r>
      <w:r w:rsidR="00A54294">
        <w:t>”</w:t>
      </w:r>
      <w:r>
        <w:t xml:space="preserve">, przed kliknięciem przycisku PODSUMOWANIE. </w:t>
      </w:r>
      <w:r w:rsidR="00A54294">
        <w:br/>
      </w:r>
      <w:r w:rsidR="00A54294" w:rsidRPr="00A54294">
        <w:rPr>
          <w:color w:val="244061" w:themeColor="accent1" w:themeShade="80"/>
        </w:rPr>
        <w:t xml:space="preserve">Uwaga! </w:t>
      </w:r>
      <w:r w:rsidRPr="00A54294">
        <w:rPr>
          <w:color w:val="244061" w:themeColor="accent1" w:themeShade="80"/>
        </w:rPr>
        <w:t xml:space="preserve">Nie wpisujemy kodu w polu </w:t>
      </w:r>
      <w:r w:rsidR="00A54294" w:rsidRPr="00A54294">
        <w:rPr>
          <w:color w:val="244061" w:themeColor="accent1" w:themeShade="80"/>
        </w:rPr>
        <w:t>„</w:t>
      </w:r>
      <w:r w:rsidRPr="00A54294">
        <w:rPr>
          <w:color w:val="244061" w:themeColor="accent1" w:themeShade="80"/>
        </w:rPr>
        <w:t>Kupon rabatowy</w:t>
      </w:r>
      <w:r w:rsidR="00A54294" w:rsidRPr="00A54294">
        <w:rPr>
          <w:color w:val="244061" w:themeColor="accent1" w:themeShade="80"/>
        </w:rPr>
        <w:t>”</w:t>
      </w:r>
      <w:r w:rsidRPr="00A54294">
        <w:rPr>
          <w:color w:val="244061" w:themeColor="accent1" w:themeShade="80"/>
        </w:rPr>
        <w:t>.</w:t>
      </w:r>
    </w:p>
    <w:p w:rsidR="0092718C" w:rsidRDefault="0092718C" w:rsidP="00447CE6">
      <w:pPr>
        <w:pStyle w:val="Akapitzlist"/>
        <w:ind w:left="1068"/>
        <w:jc w:val="center"/>
      </w:pPr>
      <w:r>
        <w:rPr>
          <w:noProof/>
          <w:lang w:eastAsia="pl-PL"/>
        </w:rPr>
        <w:drawing>
          <wp:inline distT="0" distB="0" distL="0" distR="0">
            <wp:extent cx="3161988" cy="1407381"/>
            <wp:effectExtent l="19050" t="0" r="312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21" cy="141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5C" w:rsidRDefault="00587F5C" w:rsidP="00447CE6">
      <w:pPr>
        <w:pStyle w:val="Akapitzlist"/>
        <w:numPr>
          <w:ilvl w:val="0"/>
          <w:numId w:val="1"/>
        </w:numPr>
        <w:jc w:val="both"/>
      </w:pPr>
      <w:r>
        <w:t>Istnieją różne opcje realizacji zamówienia w zależności od wyboru osoby zamawiającej:</w:t>
      </w:r>
    </w:p>
    <w:p w:rsidR="003B5AB2" w:rsidRDefault="003B5AB2" w:rsidP="00447CE6">
      <w:pPr>
        <w:pStyle w:val="Akapitzlist"/>
        <w:ind w:left="1068"/>
        <w:jc w:val="both"/>
      </w:pPr>
      <w:r w:rsidRPr="003B5AB2">
        <w:rPr>
          <w:b/>
        </w:rPr>
        <w:t xml:space="preserve">Odbiorę moje zamówienie w </w:t>
      </w:r>
      <w:r w:rsidR="008C6258">
        <w:rPr>
          <w:b/>
        </w:rPr>
        <w:t>swojej placówce</w:t>
      </w:r>
      <w:r>
        <w:t xml:space="preserve">: takie zamówienie zostanie zrealizowane wraz z innymi zamówieniami z danej placówki, nie później niż w ciągu 2 tygodni od </w:t>
      </w:r>
      <w:r w:rsidR="008C6258">
        <w:t xml:space="preserve">jego </w:t>
      </w:r>
      <w:r>
        <w:t xml:space="preserve">złożenia. W zbiorczym kartonie znajdą się mniejsze paczki opatrzone imieniem, nazwiskiem i adresem domowym konkretnego odbiorcy. Takie zamówienie </w:t>
      </w:r>
      <w:r w:rsidR="00F550DB">
        <w:t>(</w:t>
      </w:r>
      <w:r>
        <w:t>bez względu na jego wartość</w:t>
      </w:r>
      <w:r w:rsidR="00F550DB">
        <w:t>)</w:t>
      </w:r>
      <w:r>
        <w:t xml:space="preserve"> jest dostarczane na koszt Księgarni – nie ma tu dodatkowych opłat związanych z przesyłką. Zbiorczy karton adresujemy na osobę</w:t>
      </w:r>
      <w:r w:rsidR="00F550DB">
        <w:t xml:space="preserve"> kontaktową, która współpracuje z</w:t>
      </w:r>
      <w:r w:rsidR="0092718C">
        <w:t xml:space="preserve"> Księgarnią z ramienia szkoły</w:t>
      </w:r>
      <w:r w:rsidR="00F550DB">
        <w:t>.</w:t>
      </w:r>
      <w:r w:rsidR="008C6258">
        <w:t xml:space="preserve"> W Polu „dostawa” należy zaznaczyć opcję „odbiór osobisty w siedzibie firmy”. Po przejściu do danych adresowych należy zaznaczyć opcję „inny adres wysyłki” i wpisać tam własne imię i nazwisko oraz adres szkoły.</w:t>
      </w:r>
    </w:p>
    <w:p w:rsidR="0092718C" w:rsidRDefault="0092718C" w:rsidP="00447CE6">
      <w:pPr>
        <w:pStyle w:val="Akapitzlist"/>
        <w:ind w:left="1068"/>
        <w:jc w:val="center"/>
      </w:pPr>
      <w:r>
        <w:rPr>
          <w:noProof/>
          <w:lang w:eastAsia="pl-PL"/>
        </w:rPr>
        <w:drawing>
          <wp:inline distT="0" distB="0" distL="0" distR="0">
            <wp:extent cx="5013988" cy="104957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54" cy="105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8C" w:rsidRDefault="0092718C" w:rsidP="00447CE6">
      <w:pPr>
        <w:pStyle w:val="Akapitzlist"/>
        <w:ind w:left="1068"/>
        <w:jc w:val="both"/>
        <w:rPr>
          <w:b/>
        </w:rPr>
      </w:pPr>
    </w:p>
    <w:p w:rsidR="0092718C" w:rsidRDefault="0092718C" w:rsidP="00447CE6">
      <w:pPr>
        <w:pStyle w:val="Akapitzlist"/>
        <w:ind w:left="1068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392060" cy="198781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72" cy="198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8C" w:rsidRPr="0092718C" w:rsidRDefault="0092718C" w:rsidP="00447CE6">
      <w:pPr>
        <w:pStyle w:val="Akapitzlist"/>
        <w:ind w:left="1068"/>
        <w:jc w:val="both"/>
        <w:rPr>
          <w:b/>
        </w:rPr>
      </w:pPr>
    </w:p>
    <w:p w:rsidR="00587F5C" w:rsidRDefault="008C6258" w:rsidP="00447CE6">
      <w:pPr>
        <w:pStyle w:val="Akapitzlist"/>
        <w:ind w:left="1068"/>
        <w:jc w:val="both"/>
      </w:pPr>
      <w:r>
        <w:rPr>
          <w:b/>
        </w:rPr>
        <w:t>Chcę otrzymać zamówienie bezpośrednio do domu prywatnego</w:t>
      </w:r>
      <w:r w:rsidRPr="008C6258">
        <w:t>:</w:t>
      </w:r>
      <w:r>
        <w:t xml:space="preserve"> w zależności od wybranych towarów realizacja zamówienia trwać będzie 3 dni (dla towarów ze statusem „dostępne”) lub 5 dni roboczych (dla towarów ze statusem „na zamówienie”</w:t>
      </w:r>
      <w:r w:rsidR="00A54294">
        <w:t>)</w:t>
      </w:r>
      <w:r>
        <w:t xml:space="preserve">. Jeśli zamówienie zostanie złożone na kwotę większą niż 100 zł, wówczas system nie doliczy </w:t>
      </w:r>
      <w:r>
        <w:lastRenderedPageBreak/>
        <w:t>dodatkowej opłaty za przesyłkę. W przypadku mniejszych zamówień zostanie doliczona opłata za dostawę – w takim przypadku polecamy skorzystanie z opcji odebrania zamówienia w placówce, gdzie dostarczamy zamówienia bezpłatnie bez względu na ich wartość.</w:t>
      </w:r>
    </w:p>
    <w:p w:rsidR="007A665F" w:rsidRPr="00A54294" w:rsidRDefault="0092718C" w:rsidP="00A54294">
      <w:pPr>
        <w:pStyle w:val="Akapitzlist"/>
        <w:numPr>
          <w:ilvl w:val="0"/>
          <w:numId w:val="1"/>
        </w:numPr>
        <w:jc w:val="both"/>
        <w:rPr>
          <w:b/>
        </w:rPr>
      </w:pPr>
      <w:r w:rsidRPr="00447CE6">
        <w:rPr>
          <w:b/>
        </w:rPr>
        <w:t xml:space="preserve">Gwarancja bezpieczeństwa. </w:t>
      </w:r>
      <w:r w:rsidR="00A54294">
        <w:rPr>
          <w:b/>
        </w:rPr>
        <w:t xml:space="preserve">– </w:t>
      </w:r>
      <w:r w:rsidR="007A665F" w:rsidRPr="0092718C">
        <w:t>Zarówno w przypadku dostawy do szkoły, jak i dostawy do domu prywatnego, Księgarnia dokłada wszelkich starań, aby zachowane zostały najwyższe</w:t>
      </w:r>
      <w:r w:rsidR="007A665F">
        <w:t xml:space="preserve"> </w:t>
      </w:r>
      <w:r w:rsidR="007A665F" w:rsidRPr="0092718C">
        <w:t>standardy bezpieczeństwa podczas realizacji zamówień.</w:t>
      </w:r>
      <w:r w:rsidR="007A665F">
        <w:t xml:space="preserve"> </w:t>
      </w:r>
      <w:r w:rsidR="007A665F" w:rsidRPr="00A912C7">
        <w:t xml:space="preserve">Według najnowszych wyników badań </w:t>
      </w:r>
      <w:proofErr w:type="spellStart"/>
      <w:r w:rsidR="007A665F" w:rsidRPr="00A912C7">
        <w:t>koronawirus</w:t>
      </w:r>
      <w:proofErr w:type="spellEnd"/>
      <w:r w:rsidR="007A665F" w:rsidRPr="00A912C7">
        <w:t xml:space="preserve"> jest obecny na okładkach</w:t>
      </w:r>
      <w:r w:rsidR="00A54294">
        <w:t xml:space="preserve"> książek do 72 godzin (3 doby),</w:t>
      </w:r>
      <w:r w:rsidR="00A54294">
        <w:br/>
      </w:r>
      <w:r w:rsidR="007A665F" w:rsidRPr="00A912C7">
        <w:t>a na papierze i kartonach (do 24 godzin).</w:t>
      </w:r>
      <w:r w:rsidR="007A665F">
        <w:t xml:space="preserve">  </w:t>
      </w:r>
      <w:r w:rsidR="007A665F" w:rsidRPr="00A912C7">
        <w:t>Zgodnie z powszechnymi zaleceniami informujemy, że książki są pakowane w naszym magazynie z zachowaniem zasad bezpieczeństwa.</w:t>
      </w:r>
      <w:r w:rsidR="007A665F">
        <w:t xml:space="preserve"> Zachowujemy również kwaran</w:t>
      </w:r>
      <w:r w:rsidR="007A665F" w:rsidRPr="00A912C7">
        <w:t>tannę książek przed ich wysyłką.</w:t>
      </w:r>
      <w:r w:rsidR="00A54294">
        <w:br/>
      </w:r>
      <w:r w:rsidR="007A665F" w:rsidRPr="00A912C7">
        <w:t>Po otrzymaniu przesyłki można od razu otwierać pacz</w:t>
      </w:r>
      <w:r w:rsidR="00A54294">
        <w:t>kę: to Księgarnia dba o to, aby</w:t>
      </w:r>
      <w:r w:rsidR="00A54294">
        <w:br/>
      </w:r>
      <w:r w:rsidR="007A665F" w:rsidRPr="00A912C7">
        <w:t xml:space="preserve">od momentu spakowania paczki do otrzymania jej </w:t>
      </w:r>
      <w:r w:rsidR="007A665F" w:rsidRPr="007A665F">
        <w:t>przez odbiorcę został zachowany czas kwarantanny - 3 dni.</w:t>
      </w:r>
    </w:p>
    <w:p w:rsidR="007A665F" w:rsidRPr="007A665F" w:rsidRDefault="00447CE6" w:rsidP="007A665F">
      <w:pPr>
        <w:pStyle w:val="Akapitzlist"/>
        <w:numPr>
          <w:ilvl w:val="0"/>
          <w:numId w:val="1"/>
        </w:numPr>
        <w:jc w:val="both"/>
        <w:rPr>
          <w:b/>
        </w:rPr>
      </w:pPr>
      <w:bookmarkStart w:id="0" w:name="OLE_LINK1"/>
      <w:bookmarkStart w:id="1" w:name="OLE_LINK2"/>
      <w:r w:rsidRPr="007A665F">
        <w:t>Po</w:t>
      </w:r>
      <w:r>
        <w:t xml:space="preserve"> zrealizowaniu zamówienia, przy którym został </w:t>
      </w:r>
      <w:r w:rsidR="00A54294">
        <w:t>wpisany kod szkoły, nalicza się</w:t>
      </w:r>
      <w:r w:rsidR="00A54294">
        <w:br/>
      </w:r>
      <w:r>
        <w:t>w „skarbonce” placówki kwota 15% wartości zamówienia, którą w dowolnym momencie przedstawiciel placówki w porozumieniu z dyrekcją może wykorzystać na wybrane przez siebie książki z oferty Księgarni. Wartość aktualnie zgromadzonej kwoty można sprawdzić w panelu B2B (oddzielne dane do logowania) lub kontaktując s</w:t>
      </w:r>
      <w:r w:rsidR="00005EA4">
        <w:t>ię z przedstawicielem Księgarni.</w:t>
      </w:r>
    </w:p>
    <w:bookmarkEnd w:id="0"/>
    <w:bookmarkEnd w:id="1"/>
    <w:p w:rsidR="00CC423D" w:rsidRDefault="00CC423D" w:rsidP="00005EA4">
      <w:pPr>
        <w:jc w:val="both"/>
      </w:pPr>
    </w:p>
    <w:p w:rsidR="00776AB7" w:rsidRDefault="00776AB7" w:rsidP="00447CE6">
      <w:pPr>
        <w:jc w:val="both"/>
      </w:pPr>
    </w:p>
    <w:sectPr w:rsidR="00776AB7" w:rsidSect="00FD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DD9"/>
    <w:multiLevelType w:val="hybridMultilevel"/>
    <w:tmpl w:val="2E42EFDA"/>
    <w:lvl w:ilvl="0" w:tplc="5860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55199D"/>
    <w:multiLevelType w:val="hybridMultilevel"/>
    <w:tmpl w:val="7E0CF8D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AB7"/>
    <w:rsid w:val="00005EA4"/>
    <w:rsid w:val="001F6675"/>
    <w:rsid w:val="00290E63"/>
    <w:rsid w:val="003B5AB2"/>
    <w:rsid w:val="00447CE6"/>
    <w:rsid w:val="00534DBE"/>
    <w:rsid w:val="00587F5C"/>
    <w:rsid w:val="006D081D"/>
    <w:rsid w:val="00776AB7"/>
    <w:rsid w:val="007A665F"/>
    <w:rsid w:val="008C6258"/>
    <w:rsid w:val="0092718C"/>
    <w:rsid w:val="00A54294"/>
    <w:rsid w:val="00A912C7"/>
    <w:rsid w:val="00CC423D"/>
    <w:rsid w:val="00DF7BAE"/>
    <w:rsid w:val="00F00415"/>
    <w:rsid w:val="00F550DB"/>
    <w:rsid w:val="00F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A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6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czytelnik</cp:lastModifiedBy>
  <cp:revision>3</cp:revision>
  <dcterms:created xsi:type="dcterms:W3CDTF">2020-09-15T07:21:00Z</dcterms:created>
  <dcterms:modified xsi:type="dcterms:W3CDTF">2020-12-03T08:29:00Z</dcterms:modified>
</cp:coreProperties>
</file>